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pc="http://schemas.microsoft.com/office/word/2010/wordprocessingCanvas" xmlns:mo="http://schemas.microsoft.com/office/mac/office/2008/main" xmlns:mv="urn:schemas-microsoft-com:mac:vml" xmlns:o="urn:schemas-microsoft-com:office:office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mall"/>
      </w:pPr>
      <w:r>
        <w:t>ДОКУМЕНТ 02   •   /pages/privacy</w:t>
      </w:r>
    </w:p>
    <w:p>
      <w:pPr>
        <w:pStyle w:val="Title"/>
      </w:pPr>
      <w:r>
        <w:t>Политика конфиденциальности и обработки персональных данных</w:t>
      </w:r>
    </w:p>
    <w:p>
      <w:pPr>
        <w:pStyle w:val="Small"/>
      </w:pPr>
      <w:r>
        <w:t>Редакция от 24.09.2026. Действует с момента размещения на сайте rarevolt.ru.</w:t>
      </w:r>
    </w:p>
    <w:p>
      <w:pPr>
        <w:pStyle w:val="Heading1"/>
      </w:pPr>
      <w:r>
        <w:t>Оператор, принципы и цели</w:t>
      </w:r>
    </w:p>
    <w:p>
      <w:pPr>
        <w:pStyle w:val="Heading2"/>
      </w:pPr>
      <w:r>
        <w:t>1. Общие положения</w:t>
      </w:r>
    </w:p>
    <w:p>
      <w:r>
        <w:t>1.1. Оператор персональных данных сайта rarevolt.ru — Индивидуальный предприниматель Тодерика Ион Александрович, ИНН 713008327111, ОГРНИП 324710000012312. Адрес: 300908, Россия, Тульская область, г. Тула, п. Хомяково, ул. Зеленая, д. 8. Обращения о данных и отзыве согласий: hello@rarevolt.ru.</w:t>
      </w:r>
    </w:p>
    <w:p>
      <w:r>
        <w:t>1.2. Политика распространяется на покупателей, получателей заказов, владельцев кабинетов, посетителей и обращающихся к Оператору. Она не регулирует самостоятельную обработку владельцами сторонних сайтов, на которые переходит пользователь, и не освобождает Оператора от ответственности за привлечённых им обработчиков.</w:t>
      </w:r>
    </w:p>
    <w:p>
      <w:r>
        <w:t>1.3. Оператор соблюдает целевой характер, соразмерность, точность, конфиденциальность и ограничение сроков обработки. Данные «на всякий случай» не собираются; несовместимые цели не объединяются. Политика информирует пользователя и не заменяет согласие, когда оно требуется.</w:t>
      </w:r>
    </w:p>
    <w:p>
      <w:pPr>
        <w:pStyle w:val="Heading2"/>
      </w:pPr>
      <w:r>
        <w:t>2. Заказы, расчёты и выполнение обязанностей</w:t>
      </w:r>
    </w:p>
    <w:p>
      <w:r>
        <w:t>2.1. Для заключения и исполнения договора: имя, телефон, электронная почта, Telegram при указании, адрес и способ доставки, сведения о получателе, состав и стоимость заказа, статус оплаты/передачи и необходимые сообщения. Основание — пункт 5 части 1 статьи 6 Закона № 152-ФЗ. Адрес доставки не требуется при самовывозе без иной законной цели; необязательные поля обозначаются отдельно.</w:t>
      </w:r>
    </w:p>
    <w:p>
      <w:r>
        <w:t>2.2. Для расчётов, налогового учёта, чеков и законных запросов: необходимые сведения о заказе, расчёте, контакте для чека и первичных документах. Основание — пункт 2 части 1 статьи 6 Закона № 152-ФЗ и нормы о налогах и контрольно-кассовой технике. Отзыв согласия не отменяет обязательные сроки хранения.</w:t>
      </w:r>
    </w:p>
    <w:p>
      <w:r>
        <w:t>2.3. Для претензий, возвратов и защиты прав: контакты, сведения о покупке/обращении, доказательства и необходимые реквизиты возврата. Основания — исполнение договора и закона; при защите права также соразмерный законный интерес, не нарушающий права субъекта. Избыточные копии удостоверений личности не запрашиваются.</w:t>
      </w:r>
    </w:p>
    <w:p>
      <w:r>
        <w:t>2.4. Для соблюдения запрета продажи энергетиков несовершеннолетним проверяется допустимое подтверждение возраста. Фиксируются лишь результат проверки, номер заказа, время и исполнитель в необходимом объёме. Изображение документа, его серия и номер для обычной возрастной проверки не копируются и не сохраняются.</w:t>
      </w:r>
    </w:p>
    <w:p>
      <w:pPr>
        <w:pStyle w:val="Heading2"/>
      </w:pPr>
      <w:r>
        <w:t>3. Кабинет и программа лояльности</w:t>
      </w:r>
    </w:p>
    <w:p>
      <w:r>
        <w:t>3.1. Для добровольного кабинета: идентификатор, контакт для входа, имя при указании, защищённые данные аутентификации, история связанных заказов и бонусных операций. Основание — исполнение соглашения о кабинете и правил добровольной программы. Кабинет не является подпиской на рекламу; рекламные согласия оформляются отдельно.</w:t>
      </w:r>
    </w:p>
    <w:p>
      <w:r>
        <w:t>3.2. Данные покупок для исполнения и бонусного учёта не используются автоматически для рекламного профилирования. Персонализация рекламы требует отдельно описанного основания и не включена в обработку, необходимую для договора.</w:t>
      </w:r>
    </w:p>
    <w:p>
      <w:pPr>
        <w:pStyle w:val="Small"/>
        <w:pageBreakBefore/>
      </w:pPr>
      <w:r>
        <w:t>ДОКУМЕНТ 02   /   Политика конфиденциальности и обработки персональных данных</w:t>
      </w:r>
    </w:p>
    <w:p>
      <w:pPr>
        <w:pStyle w:val="Heading1"/>
      </w:pPr>
      <w:r>
        <w:t>Другие цели, операции и сроки хранения</w:t>
      </w:r>
    </w:p>
    <w:p>
      <w:pPr>
        <w:pStyle w:val="Heading2"/>
      </w:pPr>
      <w:r>
        <w:t>4. Обращения, рассылка и безопасность</w:t>
      </w:r>
    </w:p>
    <w:p>
      <w:r>
        <w:t>4.1. Для добровольного общего вопроса, не связанного с договором или реализацией законных прав: имя, оставленные контакты и содержание сообщения. Основание — отдельное согласие, которое даётся отметкой в форме обратной связи; его текст размещён на странице «Согласие для обратной связи». Вопросы о заказе, доставке и оплате, претензии и законные запросы рассматриваются на самостоятельном основании и такой отметки не требуют. Согласие на рекламу для ответа не требуется.</w:t>
      </w:r>
    </w:p>
    <w:p>
      <w:r>
        <w:t>4.2. Для добровольной рекламной email-подписки: email, имя при указании, сведения о подписке/отписке и подтверждении согласий. Основания — отдельное согласие на обработку данных для маркетинга и отдельное согласие на рекламу. Покупки и служебные уведомления не зависят от подписки. Отслеживание открытия писем и рекламное профилирование по настоящей модели не ведутся.</w:t>
      </w:r>
    </w:p>
    <w:p>
      <w:r>
        <w:t>4.3. Для работы Сайта, корзины, входа и защиты: IP-адрес, время запроса, адрес страницы, сведения браузера/устройства в необходимом объёме, идентификаторы сессии, необходимые cookie и журналы безопасности. Основания — исполнение запрошенной функции/договора и соразмерный законный интерес в защите системы. Эти данные не объявляются заведомо анонимными.</w:t>
      </w:r>
    </w:p>
    <w:p>
      <w:r>
        <w:t>4.4. На Сайте работает собственная статистика посещений и рекламных переходов, размещённая на сервере Оператора: идентификаторы посетителя и сеанса, открытые страницы, тип устройства, источник перехода, UTM-метки и действия в магазине; при входе в кабинет события могут связываться с аккаунтом. Основание — законный интерес Оператора в оценке работы Сайта и рекламных кампаний при условии, что не нарушаются права и свободы субъекта; сведения не передаются третьим лицам для рекламы и не используются для межсайтового отслеживания и рекламного профилирования. Сторонний счётчик посещаемости (Яндекс Метрика) может подключаться Оператором; сведения о нём приведены в приложении. Записи статистики хранятся не более 24 месяцев.</w:t>
      </w:r>
    </w:p>
    <w:p>
      <w:pPr>
        <w:pStyle w:val="Heading2"/>
      </w:pPr>
      <w:r>
        <w:t>5. Операции и категории</w:t>
      </w:r>
    </w:p>
    <w:p>
      <w:r>
        <w:t>5.1. Обработка осуществляется автоматизированно и при необходимости без автоматизации: сбор, запись, систематизация, накопление, хранение, уточнение, извлечение, использование, предоставление/доступ на законном основании, блокирование, удаление и уничтожение. Обезличивание применяется, когда результат действительно соответствует установленным законом требованиям.</w:t>
      </w:r>
    </w:p>
    <w:p>
      <w:r>
        <w:t>5.2. Специальные категории и биометрические данные для перечисленных целей не обрабатываются. Не присылайте ненужные сведения о здоровье и чужие документы. Если для конкретной законной ситуации необходим иной состав, до сбора отдельно определяются основания и порядок. Данные не публикуются в открытом доступе по умолчанию.</w:t>
      </w:r>
    </w:p>
    <w:p>
      <w:pPr>
        <w:pStyle w:val="Heading2"/>
      </w:pPr>
      <w:r>
        <w:t>6. Сроки</w:t>
      </w:r>
    </w:p>
    <w:p>
      <w:r>
        <w:t>6.1. Сведения об исполнении заказа хранятся до завершения исполнения и урегулирования требований. Документы налогового учёта — в течение установленного срока, в частности 5 лет по подпункту 8 пункта 1 статьи 23 НК РФ; для иных обязательных документов применяется специальный срок. Это не основание хранить весь профиль пользователя столько же.</w:t>
      </w:r>
    </w:p>
    <w:p>
      <w:r>
        <w:t>6.2. Данные кабинета — до его удаления по обращению пользователя либо прекращения сервиса, с учётом самостоятельных оснований для исполнения обязательств. Общее обращение через форму обратной связи — до завершения общения и затем не более 30 календарных дней, после чего обращение удаляется. Рекламная подписка — до отзыва: отписки в кабинете или по обращению; возобновление подписки требует нового подтверждения.</w:t>
      </w:r>
    </w:p>
    <w:p>
      <w:r>
        <w:t>6.3. Технические журналы Сайта хранятся не более 90 дней, если конкретное событие не требует сохранения минимального фрагмента для расследования инцидента или защиты права на самостоятельном основании. Сроки cookie приведены в приложении. Записи собственной статистики хранятся не более 24 месяцев. Сведения о данном согласии на обработку общего обращения (дата, время, редакция текста) хранятся вместе с обращением и удаляются вместе с ним.</w:t>
      </w:r>
    </w:p>
    <w:p>
      <w:pPr>
        <w:pStyle w:val="Small"/>
        <w:pageBreakBefore/>
      </w:pPr>
      <w:r>
        <w:t>ДОКУМЕНТ 02   /   Политика конфиденциальности и обработки персональных данных</w:t>
      </w:r>
    </w:p>
    <w:p>
      <w:pPr>
        <w:pStyle w:val="Heading1"/>
      </w:pPr>
      <w:r>
        <w:t>Получатели, локализация и права</w:t>
      </w:r>
    </w:p>
    <w:p>
      <w:pPr>
        <w:pStyle w:val="Heading2"/>
      </w:pPr>
      <w:r>
        <w:t>7. Передача и поручение обработки</w:t>
      </w:r>
    </w:p>
    <w:p>
      <w:r>
        <w:t>7.1. Доступ имеют только лица, которым он необходим для функции. Получателями могут быть выбранный перевозчик, платёжный сервис, банк, оператор фискальных данных, инфраструктурные поставщики и государственные органы в пределах правового основания. Категория «партнёры» сама по себе не разрешает передачу.</w:t>
      </w:r>
    </w:p>
    <w:p>
      <w:r>
        <w:t>7.2. Получатели данных, их роли и передаваемые сведения указаны в приложении и обновляются при изменении состава сервисов. Обработчики по поручению действуют по договору с требованиями статьи 6 Закона № 152-ФЗ; в предусмотренных законом случаях до поручения получается отдельное согласие. Самостоятельные операторы отвечают за свои законные цели обработки и соблюдают применимое законодательство.</w:t>
      </w:r>
    </w:p>
    <w:p>
      <w:r>
        <w:t>7.3. Данные карты вводятся в платёжном интерфейсе соответствующего сервиса. Оператор получает статус и идентификатор платежа, сумму и необходимые расчётные сведения, но не должен получать CVV/CVC или полный номер карты через свои формы. Поставщик и его роль раскрываются до перехода к оплате.</w:t>
      </w:r>
    </w:p>
    <w:p>
      <w:pPr>
        <w:pStyle w:val="Heading2"/>
      </w:pPr>
      <w:r>
        <w:t>8. Российские базы и трансграничная передача</w:t>
      </w:r>
    </w:p>
    <w:p>
      <w:r>
        <w:t>8.1. При сборе персональных данных граждан Российской Федерации их запись, систематизация, накопление, хранение, уточнение и извлечение осуществляются с использованием баз данных, находящихся на территории Российской Федерации (часть 5 статьи 18 Закона № 152-ФЗ). Сервер с приложением Сайта, основной базой данных и локальными резервными копиями размещён в дата-центре в г. Москве, Россия.</w:t>
      </w:r>
    </w:p>
    <w:p>
      <w:r>
        <w:t>8.2. Трансграничная передача персональных данных не осуществляется: приложение, база данных, резервные копии, почтовый сервис, платёжный сервис и службы доставки, перечисленные в приложении, размещены в Российской Федерации. Служебные уведомления владельцу в мессенджере Telegram не содержат персональных данных покупателей: только номер и тип события, сумму, количество и ссылку в закрытую админ-панель. Подключение иностранной инфраструктуры или сервиса с такой передачей допускается после отдельной оценки, выполнения статьи 12 Закона № 152-ФЗ, необходимых уведомлений и обновления настоящей Политики.</w:t>
      </w:r>
    </w:p>
    <w:p>
      <w:pPr>
        <w:pStyle w:val="Heading2"/>
      </w:pPr>
      <w:r>
        <w:t>9. Права и обращения</w:t>
      </w:r>
    </w:p>
    <w:p>
      <w:r>
        <w:t>9.1. Субъект вправе получить сведения об обработке, потребовать уточнения, блокирования, прекращения или уничтожения при законных основаниях, отозвать согласие, обжаловать действия в Роскомнадзор или суд. Обращение: hello@rarevolt.ru либо почтовый адрес Оператора. Укажите контакт, суть запроса и сведения для поиска данных.</w:t>
      </w:r>
    </w:p>
    <w:p>
      <w:r>
        <w:t>9.2. Оператор соразмерно удостоверяет принадлежность данных, не требуя избыточных документов. Для формального запроса применяются требования статьи 14 Закона № 152-ФЗ. Сведения предоставляются в течение 10 рабочих дней; допустимое продление не более чем на 5 рабочих дней сопровождается мотивированным уведомлением.</w:t>
      </w:r>
    </w:p>
    <w:p>
      <w:r>
        <w:t>9.3. Уточнение подтверждённо неточных данных и уничтожение незаконно полученных/ненужных данных производятся в предусмотренных законом случаях и сроках, в том числе 7 рабочих дней по статье 20. При достижении цели или отзыве согласия обработка на этом основании прекращается, данные уничтожаются не позднее 30 дней, если закон не допускает иного.</w:t>
      </w:r>
    </w:p>
    <w:p>
      <w:r>
        <w:t>9.4. Требование прекратить обработку исполняется до 10 рабочих дней с возможным законным продлением до 5 рабочих дней, кроме установленных исключений. Прямое рекламное использование прекращается немедленно по требованию. Отзыв согласия не отменяет договор и обязательное хранение на самостоятельном основании.</w:t>
      </w:r>
    </w:p>
    <w:p>
      <w:pPr>
        <w:pStyle w:val="Small"/>
        <w:pageBreakBefore/>
      </w:pPr>
      <w:r>
        <w:t>ДОКУМЕНТ 02   /   Политика конфиденциальности и обработки персональных данных</w:t>
      </w:r>
    </w:p>
    <w:p>
      <w:pPr>
        <w:pStyle w:val="Heading1"/>
      </w:pPr>
      <w:r>
        <w:t>Защита данных и перечень сервисов</w:t>
      </w:r>
    </w:p>
    <w:p>
      <w:pPr>
        <w:pStyle w:val="Heading2"/>
      </w:pPr>
      <w:r>
        <w:t>10. Защита и обновление</w:t>
      </w:r>
    </w:p>
    <w:p>
      <w:r>
        <w:t>10.1. Оператор принимает необходимые правовые, организационные и технические меры: разграничение и учёт доступа, управление аккаунтами, защиту соединений, резервирование, контроль и реагирование на инциденты соразмерно угрозам и требованиям закона. Данные для входа не должны храниться в открытом виде. Лица с доступом соблюдают конфиденциальность.</w:t>
      </w:r>
    </w:p>
    <w:p>
      <w:r>
        <w:t>10.2. По окончании срока данные удаляются или уничтожаются с учётом законных оснований хранения и цикла резервных копий (резервные копии хранятся 14 дней). Заблокированные для законного хранения данные не используются повторно для рекламы. Инциденты расследуются и сообщаются уполномоченным органам в применимых случаях и сроках.</w:t>
      </w:r>
    </w:p>
    <w:p>
      <w:r>
        <w:t>10.3. Решения с юридическими последствиями или существенно затрагивающие права не принимаются исключительно автоматически без специальных законных условий. Спорное ограничение бонусных операций проверяет ответственное лицо; доступно обращение в поддержку.</w:t>
      </w:r>
    </w:p>
    <w:p>
      <w:r>
        <w:t>10.4. Политика находится в свободном доступе. Её изменение не расширяет согласие задним числом. Для новой несовместимой цели до начала определяется отдельное основание; при необходимости получается новое согласие.</w:t>
      </w:r>
    </w:p>
    <w:p>
      <w:pPr>
        <w:pStyle w:val="Heading2"/>
      </w:pPr>
      <w:r>
        <w:t>Приложение. Получатели и инфраструктура</w:t>
      </w:r>
    </w:p>
    <w:p>
      <w:pPr>
        <w:pStyle w:val="Note"/>
        <w:shd w:fill="F0F3F5"/>
      </w:pPr>
      <w:r>
        <w:t>Перечень отражает конфигурацию Сайта на дату редакции и обновляется при изменении состава сервисов. Все перечисленные сервисы размещены в Российской Федерации.</w:t>
      </w:r>
    </w:p>
    <w:p>
      <w:r>
        <w:t>А. Сервер, основная база и резервные копии: хостинг-провайдер Timeweb, дата-центр в г. Москве (Россия). На сервере размещены приложение, база данных и локальные резервные копии (хранятся 14 дней). Доступ провайдера ограничен обслуживанием инфраструктуры без собственного использования данных.</w:t>
      </w:r>
    </w:p>
    <w:p>
      <w:r>
        <w:t>Б. Платёжный сервис: ЮKassa (ООО НКО «ЮMoney», Россия); наименование сервиса показывается покупателю до перехода к оплате. Данные карты и реквизиты оплаты покупатель вводит на стороне платёжного сервиса; Оператор получает идентификатор и статус платежа, сумму и необходимые расчётные сведения. Платёжный сервис действует как самостоятельный оператор в соответствии со своей политикой.</w:t>
      </w:r>
    </w:p>
    <w:p>
      <w:r>
        <w:t>В. Кассовые чеки и оператор фискальных данных: чек формируется кассовым решением платёжного сервиса; наименование оператора фискальных данных указывается в чеке. Контакт, указанный для получения чека, используется только для его направления и не является согласием на рекламу.</w:t>
      </w:r>
    </w:p>
    <w:p>
      <w:r>
        <w:t>Г. Доставка: по Туле — собственный курьер Продавца, который получает имя, телефон, адрес и сведения о заказе, необходимые для вручения, в пределах режима доступа Продавца. Отправка по России — служба доставки СДЭК (Россия): ей передаются имя и телефон получателя, адрес или пункт выдачи и параметры отправления. Служба доставки показывается покупателю при оформлении Заказа и действует как самостоятельный оператор.</w:t>
      </w:r>
    </w:p>
    <w:p>
      <w:r>
        <w:t>Д. Почта и обращения: почтовый ящик hello@rarevolt.ru и отправка служебных писем — почтовый сервис Timeweb (Россия). Обращения и заявки хранятся в базе данных Сайта и обрабатываются сотрудниками через закрытую админ-панель. Служебные уведомления владельцу в Telegram содержат только номер и тип события, сумму, количество и ссылку в админ-панель; персональные данные покупателей в мессенджер не передаются. Рекламные рассылки третьим лицам не поручаются.</w:t>
      </w:r>
    </w:p>
    <w:p>
      <w:r>
        <w:t>Е. Карты и адреса: сервис 2ГИС (Россия) используется для показа карты точки самовывоза и подсказок адреса доставки; сервис получает введённую строку адреса и технические сведения запроса как самостоятельный оператор. Собственная статистика работает на сервере Сайта. Счётчик Яндекс Метрики (ООО «Яндекс», Россия) может быть подключён Оператором; в этом случае сервис получает технические сведения о посещении в соответствии со своей политикой. Иная сторонняя аналитика и рекламные пиксели не используются.</w:t>
      </w:r>
    </w:p>
    <w:p>
      <w:r>
        <w:t>Приложение. Cookie и идентификаторы</w:t>
      </w:r>
    </w:p>
    <w:p>
      <w:r>
        <w:t>Необходимые для работы Сайта: cookie сессии и защиты форм от подделки запросов — 12 часов с последнего действия; rv_guest — гостевая корзина и избранное, 90 дней; rv_age — подтверждение возраста, 30 дней; cookie «запомнить меня» при входе в кабинет — до 400 дней. Эти cookie нужны для запрошенных пользователем функций и не используются для отслеживания.</w:t>
      </w:r>
    </w:p>
    <w:p>
      <w:r>
        <w:t>Собственная статистика: rv_vid — идентификатор посетителя, до 365 дней; rv_sid — сеанс статистики, 30 минут неактивности; rv_attr — сведения о рекламном переходе, 30 дней (срок атрибуции, заданный в настройках Сайта). Срок cookie не равен сроку хранения соответствующей записи в базе (не более 24 месяцев). Cookie можно удалить в настройках браузера; блокировка необходимых cookie может нарушить работу корзины и входа.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049" w:bottom="850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tabs>
        <w:tab w:pos="9071" w:val="right"/>
      </w:tabs>
    </w:pPr>
    <w:r>
      <w:t>РЕДАКЦИЯ ОТ 24 СЕНТЯБРЯ 2026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pBdr>
        <w:bottom w:val="single" w:sz="5" w:color="CCD7DF" w:space="6"/>
      </w:pBdr>
    </w:pPr>
    <w:r>
      <w:rPr>
        <w:b/>
        <w:color w:val="18334B"/>
      </w:rPr>
      <w:t>RAREVOLT</w:t>
    </w:r>
    <w:r>
      <w:t xml:space="preserve">   /   ПРАВОВЫЕ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2" w:line="251" w:lineRule="auto"/>
    </w:pPr>
    <w:rPr>
      <w:rFonts w:ascii="Noto Sans" w:hAnsi="Noto Sans" w:eastAsia="Noto Sans" w:cs="Noto Sans"/>
      <w:b w:val="0"/>
      <w:color w:val="253342"/>
      <w:sz w:val="2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Noto Sans" w:hAnsi="Noto Sans" w:eastAsia="Noto Sans" w:cs="Noto Sans"/>
      <w:b/>
      <w:bCs/>
      <w:color w:val="18334B"/>
      <w:sz w:val="26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 w:eastAsia="Noto Sans" w:cs="Noto Sans"/>
      <w:b/>
      <w:bCs/>
      <w:color w:val="18334B"/>
      <w:sz w:val="22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 w:eastAsia="Noto Sans" w:cs="Noto Sans"/>
      <w:b/>
      <w:color w:val="18334B"/>
      <w:spacing w:val="5"/>
      <w:kern w:val="28"/>
      <w:sz w:val="44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Noto Sans" w:hAnsi="Noto Sans" w:eastAsia="Noto Sans" w:cs="Noto Sans"/>
      <w:b w:val="0"/>
      <w:i/>
      <w:iCs/>
      <w:color w:val="5E6D78"/>
      <w:spacing w:val="15"/>
      <w:sz w:val="21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0" w:lineRule="auto"/>
    </w:pPr>
    <w:rPr>
      <w:rFonts w:ascii="Noto Sans" w:hAnsi="Noto Sans" w:eastAsia="Noto Sans" w:cs="Noto Sans"/>
      <w:b w:val="0"/>
      <w:color w:val="5E6D78"/>
      <w:sz w:val="16"/>
      <w:lang w:val="ru-RU"/>
    </w:rPr>
  </w:style>
  <w:style w:type="paragraph" w:customStyle="1" w:styleId="Note">
    <w:name w:val="Note"/>
    <w:pPr>
      <w:keepLines/>
      <w:spacing w:after="140" w:line="250" w:lineRule="auto"/>
    </w:pPr>
    <w:rPr>
      <w:rFonts w:ascii="Noto Sans" w:hAnsi="Noto Sans" w:eastAsia="Noto Sans" w:cs="Noto Sans"/>
      <w:b w:val="0"/>
      <w:color w:val="5E6D78"/>
      <w:sz w:val="18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Политика конфиденциальности и обработки персональных данных</dc:title>
  <dc:subject>Правовые документы RAREVOLT</dc:subject>
  <dc:creator>RAREVOLT</dc:creator>
  <ns0:keywords>RAREVOLT, оферта, персональные данные, проект</ns0:keywords>
  <dc:description/>
  <ns0:lastModifiedBy>RAREVOLT</ns0:lastModifiedBy>
  <ns0:revision>1</ns0:revision>
  <ns2:created xsi:type="dcterms:W3CDTF">2013-12-23T23:15:00Z</ns2:created>
  <ns2:modified xsi:type="dcterms:W3CDTF">2013-12-23T23:15:00Z</ns2:modified>
  <ns0:category/>
</ns0:coreProperties>
</file>